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Pr>
          <w:noProof w:val="0"/>
          <w:sz w:val="24"/>
          <w:szCs w:val="24"/>
          <w:lang w:val="sv-SE"/>
        </w:rPr>
        <w:tab/>
        <w:t>R4-</w:t>
      </w:r>
      <w:r w:rsidR="00921539">
        <w:rPr>
          <w:noProof w:val="0"/>
          <w:sz w:val="24"/>
          <w:szCs w:val="24"/>
          <w:lang w:val="sv-SE"/>
        </w:rPr>
        <w:t>1707333</w:t>
      </w:r>
    </w:p>
    <w:p w:rsidR="00AC1D3D" w:rsidRDefault="00AC1D3D" w:rsidP="00AC1D3D">
      <w:pPr>
        <w:pStyle w:val="CRCoverPage"/>
        <w:outlineLvl w:val="0"/>
        <w:rPr>
          <w:b/>
          <w:noProof/>
          <w:sz w:val="24"/>
        </w:rPr>
      </w:pPr>
      <w:r>
        <w:rPr>
          <w:b/>
          <w:sz w:val="24"/>
          <w:szCs w:val="24"/>
        </w:rPr>
        <w:t>Berlin</w:t>
      </w:r>
      <w:r>
        <w:rPr>
          <w:b/>
          <w:noProof/>
          <w:sz w:val="24"/>
        </w:rPr>
        <w:t>, Germany, 21</w:t>
      </w:r>
      <w:r>
        <w:rPr>
          <w:b/>
          <w:noProof/>
          <w:sz w:val="24"/>
          <w:vertAlign w:val="superscript"/>
        </w:rPr>
        <w:t>st</w:t>
      </w:r>
      <w:r>
        <w:rPr>
          <w:b/>
          <w:noProof/>
          <w:sz w:val="24"/>
        </w:rPr>
        <w:t xml:space="preserve"> – 2</w:t>
      </w:r>
      <w:r w:rsidR="00DD6727">
        <w:fldChar w:fldCharType="begin"/>
      </w:r>
      <w:r w:rsidR="00DD6727">
        <w:instrText xml:space="preserve"> DOCPROPERTY  EndDate  \* MERGEFORMAT </w:instrText>
      </w:r>
      <w:r w:rsidR="00DD6727">
        <w:fldChar w:fldCharType="separate"/>
      </w:r>
      <w:r w:rsidR="003B759F">
        <w:rPr>
          <w:b/>
          <w:noProof/>
          <w:sz w:val="24"/>
        </w:rPr>
        <w:t>5</w:t>
      </w:r>
      <w:r w:rsidRPr="00B6437C">
        <w:rPr>
          <w:b/>
          <w:noProof/>
          <w:sz w:val="24"/>
          <w:vertAlign w:val="superscript"/>
        </w:rPr>
        <w:t>th</w:t>
      </w:r>
      <w:r>
        <w:rPr>
          <w:b/>
          <w:noProof/>
          <w:sz w:val="24"/>
        </w:rPr>
        <w:t xml:space="preserve"> </w:t>
      </w:r>
      <w:r w:rsidR="003B759F">
        <w:rPr>
          <w:b/>
          <w:noProof/>
          <w:sz w:val="24"/>
        </w:rPr>
        <w:t>August</w:t>
      </w:r>
      <w:r w:rsidRPr="00BA51D9">
        <w:rPr>
          <w:b/>
          <w:noProof/>
          <w:sz w:val="24"/>
        </w:rPr>
        <w:t xml:space="preserve"> </w:t>
      </w:r>
      <w:r>
        <w:rPr>
          <w:b/>
          <w:noProof/>
          <w:sz w:val="24"/>
        </w:rPr>
        <w:t>2017</w:t>
      </w:r>
      <w:r w:rsidR="00DD6727">
        <w:rPr>
          <w:b/>
          <w:noProof/>
          <w:sz w:val="24"/>
        </w:rPr>
        <w:fldChar w:fldCharType="end"/>
      </w:r>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bookmarkStart w:id="0" w:name="_GoBack"/>
      <w:bookmarkEnd w:id="0"/>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t>8.</w:t>
      </w:r>
      <w:r w:rsidR="00592EA3">
        <w:rPr>
          <w:rFonts w:ascii="Arial" w:hAnsi="Arial"/>
          <w:sz w:val="24"/>
        </w:rPr>
        <w:t>22.2</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the Scope of Study Phase of V2X </w:t>
      </w:r>
      <w:proofErr w:type="spellStart"/>
      <w:r>
        <w:rPr>
          <w:rFonts w:ascii="Arial" w:hAnsi="Arial"/>
          <w:sz w:val="24"/>
        </w:rPr>
        <w:t>Intraband</w:t>
      </w:r>
      <w:proofErr w:type="spellEnd"/>
      <w:r>
        <w:rPr>
          <w:rFonts w:ascii="Arial" w:hAnsi="Arial"/>
          <w:sz w:val="24"/>
        </w:rPr>
        <w:t xml:space="preserve"> </w:t>
      </w:r>
      <w:proofErr w:type="spellStart"/>
      <w:r>
        <w:rPr>
          <w:rFonts w:ascii="Arial" w:hAnsi="Arial"/>
          <w:sz w:val="24"/>
        </w:rPr>
        <w:t>Multicarriers</w:t>
      </w:r>
      <w:proofErr w:type="spellEnd"/>
      <w:r>
        <w:rPr>
          <w:rFonts w:ascii="Arial" w:hAnsi="Arial"/>
          <w:sz w:val="24"/>
        </w:rPr>
        <w:t xml:space="preserve"> O</w:t>
      </w:r>
      <w:r w:rsidRPr="00AC1D3D">
        <w:rPr>
          <w:rFonts w:ascii="Arial" w:hAnsi="Arial"/>
          <w:sz w:val="24"/>
        </w:rPr>
        <w:t>peration.</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AC1D3D" w:rsidRDefault="00AC1D3D" w:rsidP="00AC1D3D">
      <w:pPr>
        <w:rPr>
          <w:lang w:val="en-GB"/>
        </w:rPr>
      </w:pPr>
      <w:r>
        <w:rPr>
          <w:lang w:val="en-GB"/>
        </w:rPr>
        <w:t>In RAN4#83 meeting, the following agreements has been made on the scope of the eV2X study item in RAN4 [</w:t>
      </w:r>
      <w:r w:rsidR="00592EA3">
        <w:rPr>
          <w:lang w:val="en-GB"/>
        </w:rPr>
        <w:t>1</w:t>
      </w:r>
      <w:r>
        <w:rPr>
          <w:lang w:val="en-GB"/>
        </w:rPr>
        <w:t>].</w:t>
      </w:r>
    </w:p>
    <w:p w:rsidR="00AC1D3D" w:rsidRDefault="00813C68" w:rsidP="00AC1D3D">
      <w:r w:rsidRPr="00AC1D3D">
        <w:rPr>
          <w:lang w:val="sv-SE"/>
        </w:rPr>
        <w:t>Multiple carriers and CA scenarios in Rel-15</w:t>
      </w:r>
    </w:p>
    <w:p w:rsidR="0050060B" w:rsidRPr="00AC1D3D" w:rsidRDefault="00813C68" w:rsidP="00AC1D3D">
      <w:pPr>
        <w:pStyle w:val="ListParagraph"/>
        <w:numPr>
          <w:ilvl w:val="0"/>
          <w:numId w:val="3"/>
        </w:numPr>
        <w:spacing w:line="240" w:lineRule="auto"/>
      </w:pPr>
      <w:r w:rsidRPr="00AC1D3D">
        <w:rPr>
          <w:lang w:val="sv-SE"/>
        </w:rPr>
        <w:t>First Priority</w:t>
      </w:r>
    </w:p>
    <w:p w:rsidR="0050060B" w:rsidRPr="00AC1D3D" w:rsidRDefault="00813C68" w:rsidP="00AC1D3D">
      <w:pPr>
        <w:spacing w:line="240" w:lineRule="auto"/>
        <w:ind w:left="720"/>
      </w:pPr>
      <w:r w:rsidRPr="00AC1D3D">
        <w:rPr>
          <w:lang w:val="en-GB"/>
        </w:rPr>
        <w:t>V2X_47C (23dBm)</w:t>
      </w:r>
    </w:p>
    <w:p w:rsidR="0050060B" w:rsidRPr="00AC1D3D" w:rsidRDefault="00813C68" w:rsidP="00AC1D3D">
      <w:pPr>
        <w:spacing w:line="240" w:lineRule="auto"/>
        <w:ind w:left="1440"/>
      </w:pPr>
      <w:r w:rsidRPr="00AC1D3D">
        <w:rPr>
          <w:lang w:val="en-GB"/>
        </w:rPr>
        <w:t>RX: 20MHz+10MHz, TX: FFS</w:t>
      </w:r>
    </w:p>
    <w:p w:rsidR="0050060B" w:rsidRPr="00AC1D3D" w:rsidRDefault="00813C68" w:rsidP="00AC1D3D">
      <w:pPr>
        <w:spacing w:line="240" w:lineRule="auto"/>
        <w:ind w:left="720"/>
      </w:pPr>
      <w:r w:rsidRPr="00AC1D3D">
        <w:rPr>
          <w:lang w:val="en-GB"/>
        </w:rPr>
        <w:t>V2X_xA(23dBm)_47C(23dBm): x denotes a licensed band</w:t>
      </w:r>
    </w:p>
    <w:p w:rsidR="0050060B" w:rsidRPr="00AC1D3D" w:rsidRDefault="00813C68" w:rsidP="00AC1D3D">
      <w:pPr>
        <w:pStyle w:val="ListParagraph"/>
        <w:numPr>
          <w:ilvl w:val="0"/>
          <w:numId w:val="3"/>
        </w:numPr>
        <w:spacing w:line="240" w:lineRule="auto"/>
      </w:pPr>
      <w:r w:rsidRPr="00AC1D3D">
        <w:t>Second priority</w:t>
      </w:r>
    </w:p>
    <w:p w:rsidR="0050060B" w:rsidRPr="00AC1D3D" w:rsidRDefault="00813C68" w:rsidP="00AC1D3D">
      <w:pPr>
        <w:spacing w:line="240" w:lineRule="auto"/>
        <w:ind w:left="720"/>
      </w:pPr>
      <w:r w:rsidRPr="00AC1D3D">
        <w:rPr>
          <w:lang w:val="en-GB"/>
        </w:rPr>
        <w:t>V2X</w:t>
      </w:r>
      <w:r w:rsidRPr="00AC1D3D">
        <w:t>_47new bandwidth class</w:t>
      </w:r>
      <w:r w:rsidRPr="00AC1D3D">
        <w:rPr>
          <w:lang w:val="en-GB"/>
        </w:rPr>
        <w:t xml:space="preserve"> (23dBm)</w:t>
      </w:r>
    </w:p>
    <w:p w:rsidR="0050060B" w:rsidRPr="00AC1D3D" w:rsidRDefault="00813C68" w:rsidP="00AC1D3D">
      <w:pPr>
        <w:spacing w:line="240" w:lineRule="auto"/>
        <w:ind w:left="1440"/>
      </w:pPr>
      <w:r w:rsidRPr="00AC1D3D">
        <w:rPr>
          <w:lang w:val="en-GB"/>
        </w:rPr>
        <w:t>RX: 10MHz+10MHz+10MHz, TX: FFS</w:t>
      </w:r>
    </w:p>
    <w:p w:rsidR="0050060B" w:rsidRPr="00AC1D3D" w:rsidRDefault="00813C68" w:rsidP="00AC1D3D">
      <w:pPr>
        <w:pStyle w:val="ListParagraph"/>
        <w:numPr>
          <w:ilvl w:val="0"/>
          <w:numId w:val="3"/>
        </w:numPr>
        <w:spacing w:line="240" w:lineRule="auto"/>
      </w:pPr>
      <w:r w:rsidRPr="00AC1D3D">
        <w:t>Third Priority</w:t>
      </w:r>
    </w:p>
    <w:p w:rsidR="0050060B" w:rsidRPr="00AC1D3D" w:rsidRDefault="00813C68" w:rsidP="00AC1D3D">
      <w:pPr>
        <w:spacing w:line="240" w:lineRule="auto"/>
        <w:ind w:left="720"/>
      </w:pPr>
      <w:r w:rsidRPr="00AC1D3D">
        <w:rPr>
          <w:lang w:val="en-GB"/>
        </w:rPr>
        <w:t>V2X_47B (26dBm)</w:t>
      </w:r>
    </w:p>
    <w:p w:rsidR="0050060B" w:rsidRPr="00AC1D3D" w:rsidRDefault="00813C68" w:rsidP="00AC1D3D">
      <w:pPr>
        <w:spacing w:line="240" w:lineRule="auto"/>
        <w:ind w:left="720"/>
      </w:pPr>
      <w:r w:rsidRPr="00AC1D3D">
        <w:rPr>
          <w:lang w:val="en-GB"/>
        </w:rPr>
        <w:t>V2X_xA(23dBm)_47B(26dBm): x denotes a licensed band</w:t>
      </w:r>
    </w:p>
    <w:p w:rsidR="0050060B" w:rsidRPr="00AC1D3D" w:rsidRDefault="00813C68" w:rsidP="00AC1D3D">
      <w:pPr>
        <w:spacing w:line="240" w:lineRule="auto"/>
        <w:ind w:left="720"/>
      </w:pPr>
      <w:r w:rsidRPr="00AC1D3D">
        <w:rPr>
          <w:lang w:val="en-GB"/>
        </w:rPr>
        <w:t>V2X_47C and new bandwidth class (26dBm)</w:t>
      </w:r>
    </w:p>
    <w:p w:rsidR="0050060B" w:rsidRPr="00AC1D3D" w:rsidRDefault="00813C68" w:rsidP="00AC1D3D">
      <w:pPr>
        <w:spacing w:line="240" w:lineRule="auto"/>
        <w:ind w:left="1440"/>
      </w:pPr>
      <w:r w:rsidRPr="00AC1D3D">
        <w:rPr>
          <w:lang w:val="en-GB"/>
        </w:rPr>
        <w:t>RX: 10MHz+10MHz+10MHz, TX: FFS</w:t>
      </w:r>
    </w:p>
    <w:p w:rsidR="0050060B" w:rsidRPr="00AC1D3D" w:rsidRDefault="00813C68" w:rsidP="00AC1D3D">
      <w:pPr>
        <w:spacing w:line="240" w:lineRule="auto"/>
        <w:ind w:left="1440"/>
      </w:pPr>
      <w:r w:rsidRPr="00AC1D3D">
        <w:rPr>
          <w:lang w:val="en-GB"/>
        </w:rPr>
        <w:t>RX: 20MHz+10MHz, TX: FFS</w:t>
      </w:r>
    </w:p>
    <w:p w:rsidR="0050060B" w:rsidRPr="00AC1D3D" w:rsidRDefault="00813C68" w:rsidP="00AC1D3D">
      <w:pPr>
        <w:spacing w:line="240" w:lineRule="auto"/>
        <w:ind w:left="720"/>
      </w:pPr>
      <w:r w:rsidRPr="00AC1D3D">
        <w:rPr>
          <w:lang w:val="en-GB"/>
        </w:rPr>
        <w:t>V2X_xA(23dBm)_47C(26dBm): x denotes a licensed band</w:t>
      </w:r>
    </w:p>
    <w:p w:rsidR="00AC1D3D" w:rsidRDefault="00AC1D3D" w:rsidP="00AC1D3D">
      <w:pPr>
        <w:rPr>
          <w:lang w:val="en-GB"/>
        </w:rPr>
      </w:pPr>
      <w:r>
        <w:rPr>
          <w:lang w:val="en-GB"/>
        </w:rPr>
        <w:t xml:space="preserve">In this paper, we discuss the specific tasks to be completed within the study phase for each of the listed scenarios. </w:t>
      </w:r>
    </w:p>
    <w:p w:rsidR="00607454" w:rsidRPr="00AC1D3D" w:rsidRDefault="00607454" w:rsidP="00AC1D3D">
      <w:pPr>
        <w:rPr>
          <w:lang w:val="en-GB"/>
        </w:rPr>
      </w:pPr>
    </w:p>
    <w:p w:rsidR="00AC1D3D" w:rsidRDefault="00AC1D3D" w:rsidP="00AC1D3D">
      <w:pPr>
        <w:pStyle w:val="Heading1"/>
      </w:pPr>
      <w:r>
        <w:t>Discussion</w:t>
      </w:r>
    </w:p>
    <w:p w:rsidR="00A33C00" w:rsidRDefault="00A33C00" w:rsidP="00A33C00">
      <w:pPr>
        <w:rPr>
          <w:lang w:val="en-GB"/>
        </w:rPr>
      </w:pPr>
      <w:r>
        <w:rPr>
          <w:lang w:val="en-GB"/>
        </w:rPr>
        <w:t xml:space="preserve">Usually, in RAN4 specification work, we try to reuse as much as possible </w:t>
      </w:r>
      <w:r w:rsidR="000D78F8">
        <w:rPr>
          <w:lang w:val="en-GB"/>
        </w:rPr>
        <w:t>existing requirement when the new feature/requirement is similar with the existing one. For V2X multiple carriers support, the approach has been reuse the methodology and requirements of UL CA (TX) and DL CA (RX). This approach is expected to be extended to the newly proposed scenarios.</w:t>
      </w:r>
    </w:p>
    <w:p w:rsidR="007774C6" w:rsidRDefault="007774C6" w:rsidP="00A33C00">
      <w:pPr>
        <w:rPr>
          <w:lang w:val="en-GB"/>
        </w:rPr>
      </w:pPr>
      <w:r>
        <w:rPr>
          <w:lang w:val="en-GB"/>
        </w:rPr>
        <w:lastRenderedPageBreak/>
        <w:t>For this reason, we list here the similarity and the difference between the V2X multicarrier scenarios and the corresponding CA scenarios. This comparison identifies which requirements can be reused and which requirements need to be derived from additional study. It will also identify potential new requirements (that does not exists in LTE CA) that need to be specified for V2X.</w:t>
      </w:r>
    </w:p>
    <w:p w:rsidR="007774C6" w:rsidRDefault="007774C6" w:rsidP="007774C6">
      <w:pPr>
        <w:pStyle w:val="Heading2"/>
      </w:pPr>
      <w:r>
        <w:t>Similarities</w:t>
      </w:r>
    </w:p>
    <w:p w:rsidR="007774C6" w:rsidRDefault="007774C6" w:rsidP="007774C6">
      <w:pPr>
        <w:rPr>
          <w:lang w:val="en-GB"/>
        </w:rPr>
      </w:pPr>
      <w:r>
        <w:rPr>
          <w:lang w:val="en-GB"/>
        </w:rPr>
        <w:t xml:space="preserve">C-V2X multi-carrier operation and LTE CA are expected to have similar </w:t>
      </w:r>
      <w:r w:rsidR="0065322D">
        <w:rPr>
          <w:lang w:val="en-GB"/>
        </w:rPr>
        <w:t>RF architecture. Thus, all of the architecture dependence requirements (or at least methodologies, if the corresponding requirement is band specific) can be reused. The list of such requirements are as bellow:</w:t>
      </w:r>
    </w:p>
    <w:p w:rsidR="0065322D" w:rsidRDefault="0065322D" w:rsidP="0065322D">
      <w:pPr>
        <w:pStyle w:val="ListParagraph"/>
        <w:numPr>
          <w:ilvl w:val="0"/>
          <w:numId w:val="5"/>
        </w:numPr>
        <w:rPr>
          <w:lang w:val="en-GB"/>
        </w:rPr>
      </w:pPr>
      <w:r>
        <w:rPr>
          <w:lang w:val="en-GB"/>
        </w:rPr>
        <w:t>TX requirements</w:t>
      </w:r>
    </w:p>
    <w:p w:rsidR="0065322D" w:rsidRPr="0065322D" w:rsidRDefault="0065322D" w:rsidP="0065322D">
      <w:pPr>
        <w:pStyle w:val="ListParagraph"/>
        <w:numPr>
          <w:ilvl w:val="1"/>
          <w:numId w:val="5"/>
        </w:numPr>
        <w:rPr>
          <w:lang w:val="en-GB"/>
        </w:rPr>
      </w:pPr>
      <w:r>
        <w:rPr>
          <w:lang w:val="en-GB"/>
        </w:rPr>
        <w:t xml:space="preserve">Maximum output power and </w:t>
      </w:r>
      <m:oMath>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T</m:t>
            </m:r>
          </m:sub>
        </m:sSub>
      </m:oMath>
    </w:p>
    <w:p w:rsidR="0065322D" w:rsidRPr="0065322D" w:rsidRDefault="0065322D" w:rsidP="0065322D">
      <w:pPr>
        <w:pStyle w:val="ListParagraph"/>
        <w:numPr>
          <w:ilvl w:val="1"/>
          <w:numId w:val="5"/>
        </w:numPr>
        <w:rPr>
          <w:lang w:val="en-GB"/>
        </w:rPr>
      </w:pPr>
      <w:r>
        <w:rPr>
          <w:rFonts w:eastAsiaTheme="minorEastAsia"/>
          <w:lang w:val="en-GB"/>
        </w:rPr>
        <w:t>Configure transmit power</w:t>
      </w:r>
    </w:p>
    <w:p w:rsidR="0065322D" w:rsidRPr="0065322D" w:rsidRDefault="0065322D" w:rsidP="0065322D">
      <w:pPr>
        <w:pStyle w:val="ListParagraph"/>
        <w:numPr>
          <w:ilvl w:val="1"/>
          <w:numId w:val="5"/>
        </w:numPr>
        <w:rPr>
          <w:lang w:val="en-GB"/>
        </w:rPr>
      </w:pPr>
      <w:r>
        <w:rPr>
          <w:rFonts w:eastAsiaTheme="minorEastAsia"/>
          <w:lang w:val="en-GB"/>
        </w:rPr>
        <w:t>Transmit OFF power</w:t>
      </w:r>
    </w:p>
    <w:p w:rsidR="0065322D" w:rsidRPr="0065322D" w:rsidRDefault="0065322D" w:rsidP="0065322D">
      <w:pPr>
        <w:pStyle w:val="ListParagraph"/>
        <w:numPr>
          <w:ilvl w:val="1"/>
          <w:numId w:val="5"/>
        </w:numPr>
        <w:rPr>
          <w:lang w:val="en-GB"/>
        </w:rPr>
      </w:pPr>
      <w:r>
        <w:rPr>
          <w:rFonts w:eastAsiaTheme="minorEastAsia"/>
          <w:lang w:val="en-GB"/>
        </w:rPr>
        <w:t>ON/OFF time mask</w:t>
      </w:r>
    </w:p>
    <w:p w:rsidR="0065322D" w:rsidRPr="0065322D" w:rsidRDefault="0065322D" w:rsidP="0065322D">
      <w:pPr>
        <w:pStyle w:val="ListParagraph"/>
        <w:numPr>
          <w:ilvl w:val="1"/>
          <w:numId w:val="5"/>
        </w:numPr>
        <w:rPr>
          <w:lang w:val="en-GB"/>
        </w:rPr>
      </w:pPr>
      <w:r>
        <w:rPr>
          <w:rFonts w:eastAsiaTheme="minorEastAsia"/>
          <w:lang w:val="en-GB"/>
        </w:rPr>
        <w:t>Power control</w:t>
      </w:r>
    </w:p>
    <w:p w:rsidR="0065322D" w:rsidRPr="00DF1B3D" w:rsidRDefault="0065322D" w:rsidP="0065322D">
      <w:pPr>
        <w:pStyle w:val="ListParagraph"/>
        <w:numPr>
          <w:ilvl w:val="1"/>
          <w:numId w:val="5"/>
        </w:numPr>
        <w:rPr>
          <w:lang w:val="en-GB"/>
        </w:rPr>
      </w:pPr>
      <w:r>
        <w:rPr>
          <w:rFonts w:eastAsiaTheme="minorEastAsia"/>
          <w:lang w:val="en-GB"/>
        </w:rPr>
        <w:t>Frequency error</w:t>
      </w:r>
    </w:p>
    <w:p w:rsidR="00D75B28" w:rsidRPr="00D75B28" w:rsidRDefault="0065322D" w:rsidP="00D75B28">
      <w:pPr>
        <w:pStyle w:val="ListParagraph"/>
        <w:numPr>
          <w:ilvl w:val="1"/>
          <w:numId w:val="5"/>
        </w:numPr>
        <w:rPr>
          <w:lang w:val="en-GB"/>
        </w:rPr>
      </w:pPr>
      <w:r>
        <w:rPr>
          <w:rFonts w:eastAsiaTheme="minorEastAsia"/>
          <w:lang w:val="en-GB"/>
        </w:rPr>
        <w:t>Output Spectrum Emission (band dependence): reuse methodology</w:t>
      </w:r>
    </w:p>
    <w:p w:rsidR="0065322D" w:rsidRDefault="0065322D" w:rsidP="0065322D">
      <w:pPr>
        <w:pStyle w:val="ListParagraph"/>
        <w:numPr>
          <w:ilvl w:val="0"/>
          <w:numId w:val="5"/>
        </w:numPr>
        <w:rPr>
          <w:lang w:val="en-GB"/>
        </w:rPr>
      </w:pPr>
      <w:r>
        <w:rPr>
          <w:lang w:val="en-GB"/>
        </w:rPr>
        <w:t>RX requirements</w:t>
      </w:r>
    </w:p>
    <w:p w:rsidR="00D75B28" w:rsidRDefault="00D75B28" w:rsidP="00D75B28">
      <w:pPr>
        <w:pStyle w:val="ListParagraph"/>
        <w:numPr>
          <w:ilvl w:val="1"/>
          <w:numId w:val="5"/>
        </w:numPr>
        <w:rPr>
          <w:rFonts w:eastAsiaTheme="minorEastAsia"/>
          <w:lang w:val="en-GB"/>
        </w:rPr>
      </w:pPr>
      <w:r>
        <w:rPr>
          <w:lang w:val="en-GB"/>
        </w:rPr>
        <w:t xml:space="preserve">Reference Sensitivity and  </w:t>
      </w:r>
      <m:oMath>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R</m:t>
            </m:r>
          </m:sub>
        </m:sSub>
      </m:oMath>
      <w:r>
        <w:rPr>
          <w:rFonts w:eastAsiaTheme="minorEastAsia"/>
          <w:lang w:val="en-GB"/>
        </w:rPr>
        <w:t xml:space="preserve"> (band dependence): reuse methodology</w:t>
      </w:r>
    </w:p>
    <w:p w:rsidR="00D75B28" w:rsidRDefault="00D75B28" w:rsidP="00D75B28">
      <w:pPr>
        <w:pStyle w:val="ListParagraph"/>
        <w:numPr>
          <w:ilvl w:val="1"/>
          <w:numId w:val="5"/>
        </w:numPr>
        <w:rPr>
          <w:rFonts w:eastAsiaTheme="minorEastAsia"/>
          <w:lang w:val="en-GB"/>
        </w:rPr>
      </w:pPr>
      <w:r>
        <w:rPr>
          <w:rFonts w:eastAsiaTheme="minorEastAsia"/>
          <w:lang w:val="en-GB"/>
        </w:rPr>
        <w:t>Out of Band blocking (band dependence): reuse methodology</w:t>
      </w:r>
    </w:p>
    <w:p w:rsidR="00D75B28" w:rsidRDefault="00D75B28" w:rsidP="00D75B28">
      <w:pPr>
        <w:pStyle w:val="ListParagraph"/>
        <w:numPr>
          <w:ilvl w:val="1"/>
          <w:numId w:val="5"/>
        </w:numPr>
        <w:rPr>
          <w:rFonts w:eastAsiaTheme="minorEastAsia"/>
          <w:lang w:val="en-GB"/>
        </w:rPr>
      </w:pPr>
      <w:r>
        <w:rPr>
          <w:rFonts w:eastAsiaTheme="minorEastAsia"/>
          <w:lang w:val="en-GB"/>
        </w:rPr>
        <w:t>Spurious Response</w:t>
      </w:r>
    </w:p>
    <w:p w:rsidR="00D75B28" w:rsidRDefault="00D75B28" w:rsidP="00D75B28">
      <w:pPr>
        <w:pStyle w:val="ListParagraph"/>
        <w:numPr>
          <w:ilvl w:val="1"/>
          <w:numId w:val="5"/>
        </w:numPr>
        <w:rPr>
          <w:rFonts w:eastAsiaTheme="minorEastAsia"/>
          <w:lang w:val="en-GB"/>
        </w:rPr>
      </w:pPr>
      <w:r>
        <w:rPr>
          <w:rFonts w:eastAsiaTheme="minorEastAsia"/>
          <w:lang w:val="en-GB"/>
        </w:rPr>
        <w:t>Intermodulation (band dependence): not applicable to band 47</w:t>
      </w:r>
    </w:p>
    <w:p w:rsidR="00D75B28" w:rsidRPr="00D75B28" w:rsidRDefault="00D75B28" w:rsidP="00D75B28">
      <w:pPr>
        <w:pStyle w:val="ListParagraph"/>
        <w:numPr>
          <w:ilvl w:val="1"/>
          <w:numId w:val="5"/>
        </w:numPr>
        <w:rPr>
          <w:rFonts w:eastAsiaTheme="minorEastAsia"/>
          <w:lang w:val="en-GB"/>
        </w:rPr>
      </w:pPr>
      <w:r>
        <w:rPr>
          <w:rFonts w:eastAsiaTheme="minorEastAsia"/>
          <w:lang w:val="en-GB"/>
        </w:rPr>
        <w:t>Spurious Emission</w:t>
      </w:r>
    </w:p>
    <w:p w:rsidR="00D75B28" w:rsidRDefault="00D75B28" w:rsidP="00D75B28">
      <w:pPr>
        <w:pStyle w:val="Heading2"/>
      </w:pPr>
      <w:r>
        <w:t xml:space="preserve"> Difference</w:t>
      </w:r>
    </w:p>
    <w:p w:rsidR="00D75B28" w:rsidRDefault="00D75B28" w:rsidP="00D75B28">
      <w:pPr>
        <w:rPr>
          <w:lang w:val="en-GB"/>
        </w:rPr>
      </w:pPr>
      <w:r>
        <w:rPr>
          <w:lang w:val="en-GB"/>
        </w:rPr>
        <w:t>The only, which is also the fundamental difference between V2X multi-carrier and LTE CA</w:t>
      </w:r>
      <w:r w:rsidR="00DB2B4D">
        <w:rPr>
          <w:lang w:val="en-GB"/>
        </w:rPr>
        <w:t xml:space="preserve"> is the targeted deployment scenario. For LTE CA, the purpose is to provide a larger bandwidth channel between a specific UE and the network. Thus, there is a strong coupling of traffic and </w:t>
      </w:r>
      <w:proofErr w:type="spellStart"/>
      <w:r w:rsidR="00DB2B4D">
        <w:rPr>
          <w:lang w:val="en-GB"/>
        </w:rPr>
        <w:t>Tx</w:t>
      </w:r>
      <w:proofErr w:type="spellEnd"/>
      <w:r w:rsidR="00DB2B4D">
        <w:rPr>
          <w:lang w:val="en-GB"/>
        </w:rPr>
        <w:t>/RX behaviour in different aggregated channels. In particular, the following assumption was made for LTE CA due to this reason:</w:t>
      </w:r>
    </w:p>
    <w:p w:rsidR="00DB2B4D" w:rsidRDefault="00DB2B4D" w:rsidP="00DB2B4D">
      <w:pPr>
        <w:pStyle w:val="ListParagraph"/>
        <w:numPr>
          <w:ilvl w:val="0"/>
          <w:numId w:val="6"/>
        </w:numPr>
        <w:rPr>
          <w:lang w:val="en-GB"/>
        </w:rPr>
      </w:pPr>
      <w:r>
        <w:rPr>
          <w:lang w:val="en-GB"/>
        </w:rPr>
        <w:t xml:space="preserve">If there is multiple </w:t>
      </w:r>
      <w:proofErr w:type="spellStart"/>
      <w:r>
        <w:rPr>
          <w:lang w:val="en-GB"/>
        </w:rPr>
        <w:t>Tx</w:t>
      </w:r>
      <w:proofErr w:type="spellEnd"/>
      <w:r>
        <w:rPr>
          <w:lang w:val="en-GB"/>
        </w:rPr>
        <w:t xml:space="preserve"> in the aggregated channels, the traffic targets the same </w:t>
      </w:r>
      <w:proofErr w:type="spellStart"/>
      <w:r>
        <w:rPr>
          <w:lang w:val="en-GB"/>
        </w:rPr>
        <w:t>eNB</w:t>
      </w:r>
      <w:proofErr w:type="spellEnd"/>
      <w:r>
        <w:rPr>
          <w:lang w:val="en-GB"/>
        </w:rPr>
        <w:t>.</w:t>
      </w:r>
    </w:p>
    <w:p w:rsidR="00DB2B4D" w:rsidRDefault="00DB2B4D" w:rsidP="00DB2B4D">
      <w:pPr>
        <w:pStyle w:val="ListParagraph"/>
        <w:numPr>
          <w:ilvl w:val="0"/>
          <w:numId w:val="6"/>
        </w:numPr>
        <w:rPr>
          <w:lang w:val="en-GB"/>
        </w:rPr>
      </w:pPr>
      <w:r>
        <w:rPr>
          <w:lang w:val="en-GB"/>
        </w:rPr>
        <w:t xml:space="preserve">If there is multiple Rx in the aggregated channels, the traffic comes from the same </w:t>
      </w:r>
      <w:proofErr w:type="spellStart"/>
      <w:r>
        <w:rPr>
          <w:lang w:val="en-GB"/>
        </w:rPr>
        <w:t>eNB</w:t>
      </w:r>
      <w:proofErr w:type="spellEnd"/>
      <w:r>
        <w:rPr>
          <w:lang w:val="en-GB"/>
        </w:rPr>
        <w:t>.</w:t>
      </w:r>
    </w:p>
    <w:p w:rsidR="00DB2B4D" w:rsidRDefault="00DB2B4D" w:rsidP="00DB2B4D">
      <w:pPr>
        <w:pStyle w:val="ListParagraph"/>
        <w:numPr>
          <w:ilvl w:val="0"/>
          <w:numId w:val="6"/>
        </w:numPr>
        <w:rPr>
          <w:lang w:val="en-GB"/>
        </w:rPr>
      </w:pPr>
      <w:r>
        <w:rPr>
          <w:lang w:val="en-GB"/>
        </w:rPr>
        <w:t xml:space="preserve">Optimize coverage very near </w:t>
      </w:r>
      <w:proofErr w:type="spellStart"/>
      <w:r>
        <w:rPr>
          <w:lang w:val="en-GB"/>
        </w:rPr>
        <w:t>eNB</w:t>
      </w:r>
      <w:proofErr w:type="spellEnd"/>
      <w:r>
        <w:rPr>
          <w:lang w:val="en-GB"/>
        </w:rPr>
        <w:t xml:space="preserve"> is not targeted (affect max input power requirement).</w:t>
      </w:r>
    </w:p>
    <w:p w:rsidR="00DB2B4D" w:rsidRDefault="00DB2B4D" w:rsidP="00DB2B4D">
      <w:pPr>
        <w:rPr>
          <w:lang w:val="en-GB"/>
        </w:rPr>
      </w:pPr>
      <w:r>
        <w:rPr>
          <w:lang w:val="en-GB"/>
        </w:rPr>
        <w:t xml:space="preserve">In V2X application, the purpose of multiple carrier operation is to provide traffic offloading, in order to support a larger number of vehicles instead of increasing the peak data rate of the same number of vehicles. For this </w:t>
      </w:r>
      <w:r w:rsidR="004F017C">
        <w:rPr>
          <w:lang w:val="en-GB"/>
        </w:rPr>
        <w:t>reason, the following assumption should be made in V2X:</w:t>
      </w:r>
    </w:p>
    <w:p w:rsidR="004F017C" w:rsidRDefault="004F017C" w:rsidP="004F017C">
      <w:pPr>
        <w:pStyle w:val="ListParagraph"/>
        <w:numPr>
          <w:ilvl w:val="0"/>
          <w:numId w:val="7"/>
        </w:numPr>
        <w:rPr>
          <w:lang w:val="en-GB"/>
        </w:rPr>
      </w:pPr>
      <w:r>
        <w:rPr>
          <w:lang w:val="en-GB"/>
        </w:rPr>
        <w:t xml:space="preserve">Traffic sent in multiple channels may not target the same vehicles, this also come from the broadcast nature of V2X traffic, </w:t>
      </w:r>
    </w:p>
    <w:p w:rsidR="004F017C" w:rsidRDefault="004F017C" w:rsidP="004F017C">
      <w:pPr>
        <w:pStyle w:val="ListParagraph"/>
        <w:numPr>
          <w:ilvl w:val="0"/>
          <w:numId w:val="7"/>
        </w:numPr>
        <w:rPr>
          <w:lang w:val="en-GB"/>
        </w:rPr>
      </w:pPr>
      <w:r>
        <w:rPr>
          <w:lang w:val="en-GB"/>
        </w:rPr>
        <w:t>Traffic in multiple channels do not necessarily come from the same vehicle.</w:t>
      </w:r>
    </w:p>
    <w:p w:rsidR="004F017C" w:rsidRDefault="004F017C" w:rsidP="004F017C">
      <w:pPr>
        <w:pStyle w:val="ListParagraph"/>
        <w:numPr>
          <w:ilvl w:val="0"/>
          <w:numId w:val="7"/>
        </w:numPr>
        <w:rPr>
          <w:lang w:val="en-GB"/>
        </w:rPr>
      </w:pPr>
      <w:r>
        <w:rPr>
          <w:lang w:val="en-GB"/>
        </w:rPr>
        <w:t>Optimize coverage in very near range is necessary, this is because of safety nature of application.</w:t>
      </w:r>
    </w:p>
    <w:p w:rsidR="004F017C" w:rsidRDefault="004F017C" w:rsidP="004F017C">
      <w:pPr>
        <w:rPr>
          <w:lang w:val="en-GB"/>
        </w:rPr>
      </w:pPr>
      <w:r>
        <w:rPr>
          <w:lang w:val="en-GB"/>
        </w:rPr>
        <w:t>From this observation, we identify the following requirements that needs to be derived from additional study:</w:t>
      </w:r>
    </w:p>
    <w:p w:rsidR="004F017C" w:rsidRDefault="004F017C" w:rsidP="004F017C">
      <w:pPr>
        <w:pStyle w:val="ListParagraph"/>
        <w:numPr>
          <w:ilvl w:val="0"/>
          <w:numId w:val="8"/>
        </w:numPr>
        <w:rPr>
          <w:lang w:val="en-GB"/>
        </w:rPr>
      </w:pPr>
      <w:r>
        <w:rPr>
          <w:lang w:val="en-GB"/>
        </w:rPr>
        <w:t>TX:</w:t>
      </w:r>
    </w:p>
    <w:p w:rsidR="00DF1B3D" w:rsidRDefault="004F017C" w:rsidP="004F017C">
      <w:pPr>
        <w:pStyle w:val="ListParagraph"/>
        <w:numPr>
          <w:ilvl w:val="1"/>
          <w:numId w:val="8"/>
        </w:numPr>
        <w:rPr>
          <w:lang w:val="en-GB"/>
        </w:rPr>
      </w:pPr>
      <w:r>
        <w:rPr>
          <w:lang w:val="en-GB"/>
        </w:rPr>
        <w:t xml:space="preserve">In Band Emission requirement: In band emission requirement for LTE CA is derived under the assumption that all other UE transmission to the same </w:t>
      </w:r>
      <w:proofErr w:type="spellStart"/>
      <w:r>
        <w:rPr>
          <w:lang w:val="en-GB"/>
        </w:rPr>
        <w:t>eNB</w:t>
      </w:r>
      <w:proofErr w:type="spellEnd"/>
      <w:r>
        <w:rPr>
          <w:lang w:val="en-GB"/>
        </w:rPr>
        <w:t xml:space="preserve"> is power controlled. In V2X, </w:t>
      </w:r>
      <w:r>
        <w:rPr>
          <w:lang w:val="en-GB"/>
        </w:rPr>
        <w:lastRenderedPageBreak/>
        <w:t xml:space="preserve">all transmission are broadcasted without any power control, the system performance can be degraded due to this fact. The degradation for single carrier </w:t>
      </w:r>
      <w:r w:rsidR="00DF1B3D">
        <w:rPr>
          <w:lang w:val="en-GB"/>
        </w:rPr>
        <w:t>case has been captured by the simulation done during the V2V/V2X work item. The same study should be done for the multiple carrier case to ensure that no exceeding performance degradation is incurred.</w:t>
      </w:r>
    </w:p>
    <w:p w:rsidR="004F017C" w:rsidRDefault="00DF1B3D" w:rsidP="004F017C">
      <w:pPr>
        <w:pStyle w:val="ListParagraph"/>
        <w:numPr>
          <w:ilvl w:val="1"/>
          <w:numId w:val="8"/>
        </w:numPr>
        <w:rPr>
          <w:lang w:val="en-GB"/>
        </w:rPr>
      </w:pPr>
      <w:r>
        <w:rPr>
          <w:lang w:val="en-GB"/>
        </w:rPr>
        <w:t xml:space="preserve">ACLR: the value of ACLR is set as the outcome of the adjacent channel coexistence study. The simulation assumptions (the aggressor/victim networks and the topology deployment of each network) is derived from the envisioned deployment scenarios. From this perspective, the current ACLR value is the outcome of the C-V2X/DSRC coexistence study. However, for V2X multicarrier operation, due to the fact that the traffic in each carrier is independent with the other, one carrier can act as the aggressor to the other and vice versa. The situation can become much more complicated if there is multiple carriers (second priority) or the bandwidth in each carrier is different (first priority). </w:t>
      </w:r>
    </w:p>
    <w:p w:rsidR="004F017C" w:rsidRDefault="004F017C" w:rsidP="004F017C">
      <w:pPr>
        <w:pStyle w:val="ListParagraph"/>
        <w:numPr>
          <w:ilvl w:val="0"/>
          <w:numId w:val="8"/>
        </w:numPr>
        <w:rPr>
          <w:lang w:val="en-GB"/>
        </w:rPr>
      </w:pPr>
      <w:r>
        <w:rPr>
          <w:lang w:val="en-GB"/>
        </w:rPr>
        <w:t>RX:</w:t>
      </w:r>
    </w:p>
    <w:p w:rsidR="002A668A" w:rsidRDefault="002A668A" w:rsidP="002A668A">
      <w:pPr>
        <w:pStyle w:val="ListParagraph"/>
        <w:numPr>
          <w:ilvl w:val="1"/>
          <w:numId w:val="8"/>
        </w:numPr>
        <w:rPr>
          <w:lang w:val="en-GB"/>
        </w:rPr>
      </w:pPr>
      <w:r>
        <w:rPr>
          <w:lang w:val="en-GB"/>
        </w:rPr>
        <w:t>Maximum input power: the maximum input power dictate how close between 2 vehicles that they can still reliably communicate with each other. For multiple carrier, we ideally want to scale this value with the number of carriers so that the minimum communication range do not increase comparing to the single carrier case. However, some relaxation can be made here for the case of more than 3 channels, since the probability that there are more than 3 concurrent transmissions at minimum communication range is extremely small.</w:t>
      </w:r>
    </w:p>
    <w:p w:rsidR="002A668A" w:rsidRDefault="002A668A" w:rsidP="002A668A">
      <w:pPr>
        <w:pStyle w:val="ListParagraph"/>
        <w:numPr>
          <w:ilvl w:val="1"/>
          <w:numId w:val="8"/>
        </w:numPr>
        <w:rPr>
          <w:lang w:val="en-GB"/>
        </w:rPr>
      </w:pPr>
      <w:r>
        <w:rPr>
          <w:lang w:val="en-GB"/>
        </w:rPr>
        <w:t>ACS:  The current ACS value is the outcome of the C-V2X/DSRC coexistence study. So the same argument as ACLR applies here.</w:t>
      </w:r>
    </w:p>
    <w:p w:rsidR="002A668A" w:rsidRDefault="002A668A" w:rsidP="002A668A">
      <w:pPr>
        <w:pStyle w:val="ListParagraph"/>
        <w:numPr>
          <w:ilvl w:val="1"/>
          <w:numId w:val="8"/>
        </w:numPr>
        <w:rPr>
          <w:lang w:val="en-GB"/>
        </w:rPr>
      </w:pPr>
      <w:r>
        <w:rPr>
          <w:lang w:val="en-GB"/>
        </w:rPr>
        <w:t>In band blocking</w:t>
      </w:r>
      <w:r w:rsidR="00F04D8A">
        <w:rPr>
          <w:lang w:val="en-GB"/>
        </w:rPr>
        <w:t>: The argument is the same as ACS, given the fact that if there are 3 adjacent V2X channels. The in band blocking characteristic dictate the Rx performance of the 1</w:t>
      </w:r>
      <w:r w:rsidR="00F04D8A" w:rsidRPr="00F04D8A">
        <w:rPr>
          <w:vertAlign w:val="superscript"/>
          <w:lang w:val="en-GB"/>
        </w:rPr>
        <w:t>st</w:t>
      </w:r>
      <w:r w:rsidR="00F04D8A">
        <w:rPr>
          <w:lang w:val="en-GB"/>
        </w:rPr>
        <w:t xml:space="preserve"> channel at the present of the 3</w:t>
      </w:r>
      <w:r w:rsidR="00F04D8A" w:rsidRPr="00F04D8A">
        <w:rPr>
          <w:vertAlign w:val="superscript"/>
          <w:lang w:val="en-GB"/>
        </w:rPr>
        <w:t>rd</w:t>
      </w:r>
      <w:r w:rsidR="00F04D8A">
        <w:rPr>
          <w:lang w:val="en-GB"/>
        </w:rPr>
        <w:t xml:space="preserve"> channel and vice versa.</w:t>
      </w:r>
    </w:p>
    <w:p w:rsidR="00F04D8A" w:rsidRDefault="00F04D8A" w:rsidP="002A668A">
      <w:pPr>
        <w:pStyle w:val="ListParagraph"/>
        <w:numPr>
          <w:ilvl w:val="1"/>
          <w:numId w:val="8"/>
        </w:numPr>
        <w:rPr>
          <w:lang w:val="en-GB"/>
        </w:rPr>
      </w:pPr>
      <w:r>
        <w:rPr>
          <w:lang w:val="en-GB"/>
        </w:rPr>
        <w:t>Addition rejection requirement: note that the ACS and In band blocking requirement above only apply if the C-V2X UE is configured to receive on only 1 channel. When, the UE is configured to receive on multiple channels, similar rejection requirement as the image rejection requirement should be derived for the corresponding case. It’s worth noting here that the image rejection requirement cannot be applied to the first and second priority scenario since this requirement assumes that there are 2 channels of the same bandwidth.</w:t>
      </w:r>
    </w:p>
    <w:p w:rsidR="00F04D8A" w:rsidRDefault="00F04D8A" w:rsidP="00F04D8A">
      <w:pPr>
        <w:rPr>
          <w:lang w:val="en-GB"/>
        </w:rPr>
      </w:pPr>
      <w:r>
        <w:rPr>
          <w:lang w:val="en-GB"/>
        </w:rPr>
        <w:t>Based on the above analysis, we recommend to conduct C-V2X/C-V2X coexistence simulation in the study phase of the eV2X item. The proposed scenarios are:</w:t>
      </w:r>
    </w:p>
    <w:p w:rsidR="00F04D8A" w:rsidRDefault="00F04D8A" w:rsidP="00F04D8A">
      <w:pPr>
        <w:pStyle w:val="ListParagraph"/>
        <w:numPr>
          <w:ilvl w:val="0"/>
          <w:numId w:val="9"/>
        </w:numPr>
        <w:rPr>
          <w:lang w:val="en-GB"/>
        </w:rPr>
      </w:pPr>
      <w:r>
        <w:rPr>
          <w:lang w:val="en-GB"/>
        </w:rPr>
        <w:t>10Mhz C-V2X/10Mhz C-V2X. This coexistence study was not done during V2X work item due to lack of time.</w:t>
      </w:r>
    </w:p>
    <w:p w:rsidR="00F04D8A" w:rsidRDefault="00F04D8A" w:rsidP="00F04D8A">
      <w:pPr>
        <w:pStyle w:val="ListParagraph"/>
        <w:numPr>
          <w:ilvl w:val="0"/>
          <w:numId w:val="9"/>
        </w:numPr>
        <w:rPr>
          <w:lang w:val="en-GB"/>
        </w:rPr>
      </w:pPr>
      <w:r>
        <w:rPr>
          <w:lang w:val="en-GB"/>
        </w:rPr>
        <w:t>10Mhz C-V2X/20Mhz C-V2X. This cover the first priority scenario</w:t>
      </w:r>
    </w:p>
    <w:p w:rsidR="00F04D8A" w:rsidRDefault="00607454" w:rsidP="00F04D8A">
      <w:pPr>
        <w:pStyle w:val="ListParagraph"/>
        <w:numPr>
          <w:ilvl w:val="0"/>
          <w:numId w:val="9"/>
        </w:numPr>
        <w:rPr>
          <w:lang w:val="en-GB"/>
        </w:rPr>
      </w:pPr>
      <w:r>
        <w:rPr>
          <w:lang w:val="en-GB"/>
        </w:rPr>
        <w:t>10Mhz C-V2X/10Mhz C-V2X/10Mhz C-V2X. This covers the second priority scenario.</w:t>
      </w:r>
    </w:p>
    <w:p w:rsidR="00607454" w:rsidRDefault="00607454" w:rsidP="00F04D8A">
      <w:pPr>
        <w:pStyle w:val="ListParagraph"/>
        <w:numPr>
          <w:ilvl w:val="0"/>
          <w:numId w:val="9"/>
        </w:numPr>
        <w:rPr>
          <w:lang w:val="en-GB"/>
        </w:rPr>
      </w:pPr>
      <w:r>
        <w:rPr>
          <w:lang w:val="en-GB"/>
        </w:rPr>
        <w:t>The same set of scenarios with 26dBm maximum output power. These cover the third priority scenario.</w:t>
      </w:r>
    </w:p>
    <w:p w:rsidR="00607454" w:rsidRDefault="00607454" w:rsidP="00607454">
      <w:pPr>
        <w:rPr>
          <w:lang w:val="en-GB"/>
        </w:rPr>
      </w:pPr>
      <w:r>
        <w:rPr>
          <w:lang w:val="en-GB"/>
        </w:rPr>
        <w:t>The priority of the above coexistence studies are as listed, according to the agreed priority order of the V2X multicarrier scenarios.</w:t>
      </w:r>
    </w:p>
    <w:p w:rsidR="00607454" w:rsidRDefault="00607454" w:rsidP="00607454">
      <w:pPr>
        <w:rPr>
          <w:rFonts w:ascii="Times New Roman" w:hAnsi="Times New Roman" w:cs="Times New Roman"/>
          <w:b/>
          <w:lang w:val="en-GB"/>
        </w:rPr>
      </w:pPr>
      <w:r>
        <w:rPr>
          <w:rFonts w:ascii="Times New Roman" w:hAnsi="Times New Roman" w:cs="Times New Roman"/>
          <w:b/>
          <w:u w:val="single"/>
          <w:lang w:val="en-GB"/>
        </w:rPr>
        <w:t xml:space="preserve">Proposal 1: </w:t>
      </w:r>
      <w:r>
        <w:rPr>
          <w:rFonts w:ascii="Times New Roman" w:hAnsi="Times New Roman" w:cs="Times New Roman"/>
          <w:b/>
          <w:lang w:val="en-GB"/>
        </w:rPr>
        <w:t>RAN4 to conduct coexistence simulation for the following scenarios</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 xml:space="preserve">1 priority: </w:t>
      </w:r>
      <w:r w:rsidRPr="00607454">
        <w:rPr>
          <w:b/>
          <w:lang w:val="en-GB"/>
        </w:rPr>
        <w:t>10Mhz C-V2X/10Mhz C-V2X</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 xml:space="preserve">2 priority: </w:t>
      </w:r>
      <w:r w:rsidRPr="00607454">
        <w:rPr>
          <w:b/>
          <w:lang w:val="en-GB"/>
        </w:rPr>
        <w:t>10Mhz C-V2X/20Mhz C-V2X</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 xml:space="preserve">3 priority: </w:t>
      </w:r>
      <w:r w:rsidRPr="00607454">
        <w:rPr>
          <w:b/>
          <w:lang w:val="en-GB"/>
        </w:rPr>
        <w:t>10Mhz C-V2X/10Mhz C-V2X/10Mhz C-V2X.</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4 priority: The 3 above scenarios with 26dBm output power</w:t>
      </w:r>
    </w:p>
    <w:p w:rsidR="00607454" w:rsidRDefault="00607454" w:rsidP="00607454">
      <w:pPr>
        <w:rPr>
          <w:lang w:val="en-GB"/>
        </w:rPr>
      </w:pPr>
      <w:r>
        <w:rPr>
          <w:lang w:val="en-GB"/>
        </w:rPr>
        <w:lastRenderedPageBreak/>
        <w:t>As the requirements of the first priority multicarrier scenario depends on the 2</w:t>
      </w:r>
      <w:r w:rsidRPr="00607454">
        <w:rPr>
          <w:vertAlign w:val="superscript"/>
          <w:lang w:val="en-GB"/>
        </w:rPr>
        <w:t>nd</w:t>
      </w:r>
      <w:r>
        <w:rPr>
          <w:lang w:val="en-GB"/>
        </w:rPr>
        <w:t xml:space="preserve"> priority coexistence simulation, we think that the 1</w:t>
      </w:r>
      <w:r w:rsidRPr="00607454">
        <w:rPr>
          <w:vertAlign w:val="superscript"/>
          <w:lang w:val="en-GB"/>
        </w:rPr>
        <w:t>st</w:t>
      </w:r>
      <w:r>
        <w:rPr>
          <w:lang w:val="en-GB"/>
        </w:rPr>
        <w:t xml:space="preserve"> and 2</w:t>
      </w:r>
      <w:r w:rsidRPr="00607454">
        <w:rPr>
          <w:vertAlign w:val="superscript"/>
          <w:lang w:val="en-GB"/>
        </w:rPr>
        <w:t>nd</w:t>
      </w:r>
      <w:r>
        <w:rPr>
          <w:lang w:val="en-GB"/>
        </w:rPr>
        <w:t xml:space="preserve"> priority scenarios should be completed by the end of this work item. Other scenario can then be considered if time permits.</w:t>
      </w:r>
    </w:p>
    <w:p w:rsidR="00607454" w:rsidRDefault="00607454" w:rsidP="00607454">
      <w:pPr>
        <w:rPr>
          <w:rFonts w:ascii="Times New Roman" w:hAnsi="Times New Roman" w:cs="Times New Roman"/>
          <w:b/>
          <w:lang w:val="en-GB"/>
        </w:rPr>
      </w:pPr>
      <w:r w:rsidRPr="00607454">
        <w:rPr>
          <w:rFonts w:ascii="Times New Roman" w:hAnsi="Times New Roman" w:cs="Times New Roman"/>
          <w:b/>
          <w:u w:val="single"/>
          <w:lang w:val="en-GB"/>
        </w:rPr>
        <w:t xml:space="preserve">Proposal 2: </w:t>
      </w:r>
      <w:r w:rsidRPr="00607454">
        <w:rPr>
          <w:rFonts w:ascii="Times New Roman" w:hAnsi="Times New Roman" w:cs="Times New Roman"/>
          <w:b/>
          <w:lang w:val="en-GB"/>
        </w:rPr>
        <w:t xml:space="preserve">1 priority: </w:t>
      </w:r>
      <w:r w:rsidRPr="00607454">
        <w:rPr>
          <w:b/>
          <w:lang w:val="en-GB"/>
        </w:rPr>
        <w:t>10Mhz C-V2X/10Mhz C-V2X</w:t>
      </w:r>
      <w:r w:rsidRPr="00607454">
        <w:rPr>
          <w:rFonts w:ascii="Times New Roman" w:hAnsi="Times New Roman" w:cs="Times New Roman"/>
          <w:b/>
          <w:lang w:val="en-GB"/>
        </w:rPr>
        <w:t xml:space="preserve"> and 2 priority: </w:t>
      </w:r>
      <w:r w:rsidRPr="00607454">
        <w:rPr>
          <w:b/>
          <w:lang w:val="en-GB"/>
        </w:rPr>
        <w:t xml:space="preserve">10Mhz C-V2X/20Mhz C-V2X </w:t>
      </w:r>
      <w:r>
        <w:rPr>
          <w:b/>
          <w:lang w:val="en-GB"/>
        </w:rPr>
        <w:t>should be completed by the end of this work item.</w:t>
      </w:r>
    </w:p>
    <w:p w:rsidR="00607454" w:rsidRPr="00607454" w:rsidRDefault="00607454" w:rsidP="00607454">
      <w:pPr>
        <w:rPr>
          <w:rFonts w:ascii="Times New Roman" w:hAnsi="Times New Roman" w:cs="Times New Roman"/>
          <w:b/>
          <w:lang w:val="en-GB"/>
        </w:rPr>
      </w:pPr>
    </w:p>
    <w:p w:rsidR="00AC1D3D" w:rsidRDefault="00AC1D3D" w:rsidP="00AC1D3D">
      <w:pPr>
        <w:pStyle w:val="Heading1"/>
      </w:pPr>
      <w:r>
        <w:t>Conclusions</w:t>
      </w:r>
    </w:p>
    <w:p w:rsidR="00607454" w:rsidRDefault="00607454" w:rsidP="00607454">
      <w:pPr>
        <w:rPr>
          <w:rFonts w:ascii="Times New Roman" w:hAnsi="Times New Roman" w:cs="Times New Roman"/>
          <w:b/>
          <w:lang w:val="en-GB"/>
        </w:rPr>
      </w:pPr>
      <w:r>
        <w:rPr>
          <w:rFonts w:ascii="Times New Roman" w:hAnsi="Times New Roman" w:cs="Times New Roman"/>
          <w:b/>
          <w:u w:val="single"/>
          <w:lang w:val="en-GB"/>
        </w:rPr>
        <w:t xml:space="preserve">Proposal 1: </w:t>
      </w:r>
      <w:r>
        <w:rPr>
          <w:rFonts w:ascii="Times New Roman" w:hAnsi="Times New Roman" w:cs="Times New Roman"/>
          <w:b/>
          <w:lang w:val="en-GB"/>
        </w:rPr>
        <w:t>RAN4 to conduct coexistence simulation for the following scenarios</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 xml:space="preserve">1 priority: </w:t>
      </w:r>
      <w:r w:rsidRPr="00607454">
        <w:rPr>
          <w:b/>
          <w:lang w:val="en-GB"/>
        </w:rPr>
        <w:t>10Mhz C-V2X/10Mhz C-V2X</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 xml:space="preserve">2 priority: </w:t>
      </w:r>
      <w:r w:rsidRPr="00607454">
        <w:rPr>
          <w:b/>
          <w:lang w:val="en-GB"/>
        </w:rPr>
        <w:t>10Mhz C-V2X/20Mhz C-V2X</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 xml:space="preserve">3 priority: </w:t>
      </w:r>
      <w:r w:rsidRPr="00607454">
        <w:rPr>
          <w:b/>
          <w:lang w:val="en-GB"/>
        </w:rPr>
        <w:t>10Mhz C-V2X/10Mhz C-V2X/10Mhz C-V2X.</w:t>
      </w:r>
    </w:p>
    <w:p w:rsidR="00607454" w:rsidRPr="00607454" w:rsidRDefault="00607454" w:rsidP="00607454">
      <w:pPr>
        <w:pStyle w:val="ListParagraph"/>
        <w:numPr>
          <w:ilvl w:val="0"/>
          <w:numId w:val="10"/>
        </w:numPr>
        <w:rPr>
          <w:rFonts w:ascii="Times New Roman" w:hAnsi="Times New Roman" w:cs="Times New Roman"/>
          <w:b/>
          <w:lang w:val="en-GB"/>
        </w:rPr>
      </w:pPr>
      <w:r>
        <w:rPr>
          <w:rFonts w:ascii="Times New Roman" w:hAnsi="Times New Roman" w:cs="Times New Roman"/>
          <w:b/>
          <w:lang w:val="en-GB"/>
        </w:rPr>
        <w:t>4 priority: The 3 above scenarios with 26dBm output power</w:t>
      </w:r>
    </w:p>
    <w:p w:rsidR="00607454" w:rsidRDefault="00607454" w:rsidP="00607454">
      <w:pPr>
        <w:rPr>
          <w:b/>
          <w:lang w:val="en-GB"/>
        </w:rPr>
      </w:pPr>
      <w:r w:rsidRPr="00607454">
        <w:rPr>
          <w:rFonts w:ascii="Times New Roman" w:hAnsi="Times New Roman" w:cs="Times New Roman"/>
          <w:b/>
          <w:u w:val="single"/>
          <w:lang w:val="en-GB"/>
        </w:rPr>
        <w:t xml:space="preserve">Proposal 2: </w:t>
      </w:r>
      <w:r w:rsidRPr="00607454">
        <w:rPr>
          <w:rFonts w:ascii="Times New Roman" w:hAnsi="Times New Roman" w:cs="Times New Roman"/>
          <w:b/>
          <w:lang w:val="en-GB"/>
        </w:rPr>
        <w:t xml:space="preserve">1 priority: </w:t>
      </w:r>
      <w:r w:rsidRPr="00607454">
        <w:rPr>
          <w:b/>
          <w:lang w:val="en-GB"/>
        </w:rPr>
        <w:t>10Mhz C-V2X/10Mhz C-V2X</w:t>
      </w:r>
      <w:r w:rsidRPr="00607454">
        <w:rPr>
          <w:rFonts w:ascii="Times New Roman" w:hAnsi="Times New Roman" w:cs="Times New Roman"/>
          <w:b/>
          <w:lang w:val="en-GB"/>
        </w:rPr>
        <w:t xml:space="preserve"> and 2 priority: </w:t>
      </w:r>
      <w:r w:rsidRPr="00607454">
        <w:rPr>
          <w:b/>
          <w:lang w:val="en-GB"/>
        </w:rPr>
        <w:t>10Mhz C-V2X/20Mhz C-V2X should be completed by the end of this work item.</w:t>
      </w:r>
    </w:p>
    <w:p w:rsidR="00607454" w:rsidRPr="00607454" w:rsidRDefault="00607454" w:rsidP="00607454">
      <w:pPr>
        <w:rPr>
          <w:rFonts w:ascii="Times New Roman" w:hAnsi="Times New Roman" w:cs="Times New Roman"/>
          <w:b/>
          <w:lang w:val="en-GB"/>
        </w:rPr>
      </w:pPr>
    </w:p>
    <w:p w:rsidR="00AC1D3D" w:rsidRPr="00C97B98" w:rsidRDefault="00607454" w:rsidP="00607454">
      <w:pPr>
        <w:pStyle w:val="Heading1"/>
      </w:pPr>
      <w:r>
        <w:t>References</w:t>
      </w:r>
    </w:p>
    <w:p w:rsidR="002C30EB" w:rsidRDefault="00592EA3">
      <w:r>
        <w:t xml:space="preserve">[1] </w:t>
      </w:r>
      <w:r w:rsidRPr="00592EA3">
        <w:t>R4-1706123</w:t>
      </w:r>
      <w:r>
        <w:t xml:space="preserve"> - </w:t>
      </w:r>
      <w:r w:rsidRPr="00592EA3">
        <w:t>WF on V2X scenarios for V2X phase 2</w:t>
      </w:r>
      <w:r>
        <w:t xml:space="preserve">. </w:t>
      </w:r>
      <w:r w:rsidRPr="00592EA3">
        <w:t>Huawei, CATT, LG, CMCC</w:t>
      </w:r>
    </w:p>
    <w:sectPr w:rsidR="002C30EB" w:rsidSect="00DD6E96">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27" w:rsidRDefault="00DD6727">
      <w:pPr>
        <w:spacing w:after="0" w:line="240" w:lineRule="auto"/>
      </w:pPr>
      <w:r>
        <w:separator/>
      </w:r>
    </w:p>
  </w:endnote>
  <w:endnote w:type="continuationSeparator" w:id="0">
    <w:p w:rsidR="00DD6727" w:rsidRDefault="00DD6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4C1" w:rsidRDefault="00813C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2514C1" w:rsidRDefault="00DD6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4C1" w:rsidRDefault="00813C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759F">
      <w:rPr>
        <w:rStyle w:val="PageNumber"/>
      </w:rPr>
      <w:t>4</w:t>
    </w:r>
    <w:r>
      <w:rPr>
        <w:rStyle w:val="PageNumber"/>
      </w:rPr>
      <w:fldChar w:fldCharType="end"/>
    </w:r>
  </w:p>
  <w:p w:rsidR="002514C1" w:rsidRDefault="00DD67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27" w:rsidRDefault="00DD6727">
      <w:pPr>
        <w:spacing w:after="0" w:line="240" w:lineRule="auto"/>
      </w:pPr>
      <w:r>
        <w:separator/>
      </w:r>
    </w:p>
  </w:footnote>
  <w:footnote w:type="continuationSeparator" w:id="0">
    <w:p w:rsidR="00DD6727" w:rsidRDefault="00DD67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9"/>
  </w:num>
  <w:num w:numId="3">
    <w:abstractNumId w:val="4"/>
  </w:num>
  <w:num w:numId="4">
    <w:abstractNumId w:val="8"/>
  </w:num>
  <w:num w:numId="5">
    <w:abstractNumId w:val="5"/>
  </w:num>
  <w:num w:numId="6">
    <w:abstractNumId w:val="1"/>
  </w:num>
  <w:num w:numId="7">
    <w:abstractNumId w:val="3"/>
  </w:num>
  <w:num w:numId="8">
    <w:abstractNumId w:val="2"/>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8171A"/>
    <w:rsid w:val="00081952"/>
    <w:rsid w:val="00081CCE"/>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2851"/>
    <w:rsid w:val="000C52AD"/>
    <w:rsid w:val="000C67B2"/>
    <w:rsid w:val="000C6B1A"/>
    <w:rsid w:val="000D224B"/>
    <w:rsid w:val="000D40F2"/>
    <w:rsid w:val="000D5026"/>
    <w:rsid w:val="000D5265"/>
    <w:rsid w:val="000D57FF"/>
    <w:rsid w:val="000D78F8"/>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5EA"/>
    <w:rsid w:val="0017190C"/>
    <w:rsid w:val="00171DB3"/>
    <w:rsid w:val="001750EE"/>
    <w:rsid w:val="00176F0A"/>
    <w:rsid w:val="00177DF1"/>
    <w:rsid w:val="00180CF0"/>
    <w:rsid w:val="00182C72"/>
    <w:rsid w:val="00183264"/>
    <w:rsid w:val="00185959"/>
    <w:rsid w:val="001859E6"/>
    <w:rsid w:val="00190EEF"/>
    <w:rsid w:val="00191E4C"/>
    <w:rsid w:val="00193AE7"/>
    <w:rsid w:val="00194866"/>
    <w:rsid w:val="00196034"/>
    <w:rsid w:val="00197019"/>
    <w:rsid w:val="00197730"/>
    <w:rsid w:val="001A0749"/>
    <w:rsid w:val="001A2F68"/>
    <w:rsid w:val="001A336C"/>
    <w:rsid w:val="001A3D4C"/>
    <w:rsid w:val="001A3FFF"/>
    <w:rsid w:val="001A55B4"/>
    <w:rsid w:val="001A7B15"/>
    <w:rsid w:val="001A7FE6"/>
    <w:rsid w:val="001B1C8B"/>
    <w:rsid w:val="001B1CE4"/>
    <w:rsid w:val="001B2682"/>
    <w:rsid w:val="001B2F98"/>
    <w:rsid w:val="001C2962"/>
    <w:rsid w:val="001C465D"/>
    <w:rsid w:val="001C5BCD"/>
    <w:rsid w:val="001D29F1"/>
    <w:rsid w:val="001D32D6"/>
    <w:rsid w:val="001D3A9E"/>
    <w:rsid w:val="001D461E"/>
    <w:rsid w:val="001D4FE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A8C"/>
    <w:rsid w:val="00235FD7"/>
    <w:rsid w:val="00240914"/>
    <w:rsid w:val="002425C8"/>
    <w:rsid w:val="002428C0"/>
    <w:rsid w:val="00243619"/>
    <w:rsid w:val="00243CB6"/>
    <w:rsid w:val="002452F5"/>
    <w:rsid w:val="002460B3"/>
    <w:rsid w:val="00250CBC"/>
    <w:rsid w:val="00253D95"/>
    <w:rsid w:val="00260E50"/>
    <w:rsid w:val="00263B7E"/>
    <w:rsid w:val="002668AD"/>
    <w:rsid w:val="002676F0"/>
    <w:rsid w:val="00270AE4"/>
    <w:rsid w:val="002714FF"/>
    <w:rsid w:val="00274060"/>
    <w:rsid w:val="0027568F"/>
    <w:rsid w:val="00275818"/>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433F"/>
    <w:rsid w:val="002B505C"/>
    <w:rsid w:val="002B50CA"/>
    <w:rsid w:val="002B5902"/>
    <w:rsid w:val="002C30EB"/>
    <w:rsid w:val="002C38EC"/>
    <w:rsid w:val="002C3E77"/>
    <w:rsid w:val="002C6B40"/>
    <w:rsid w:val="002D19AA"/>
    <w:rsid w:val="002D2606"/>
    <w:rsid w:val="002D31C3"/>
    <w:rsid w:val="002D6C66"/>
    <w:rsid w:val="002D6FB0"/>
    <w:rsid w:val="002D7A3D"/>
    <w:rsid w:val="002E1333"/>
    <w:rsid w:val="002E3322"/>
    <w:rsid w:val="002E35BC"/>
    <w:rsid w:val="002E6CED"/>
    <w:rsid w:val="002F187B"/>
    <w:rsid w:val="002F3005"/>
    <w:rsid w:val="002F45E6"/>
    <w:rsid w:val="00300FAA"/>
    <w:rsid w:val="0030211A"/>
    <w:rsid w:val="00302E97"/>
    <w:rsid w:val="00303278"/>
    <w:rsid w:val="0030479B"/>
    <w:rsid w:val="003056DF"/>
    <w:rsid w:val="00305991"/>
    <w:rsid w:val="00307054"/>
    <w:rsid w:val="0031035F"/>
    <w:rsid w:val="003125B3"/>
    <w:rsid w:val="00314F14"/>
    <w:rsid w:val="00316ABC"/>
    <w:rsid w:val="00317864"/>
    <w:rsid w:val="003242C3"/>
    <w:rsid w:val="0032518C"/>
    <w:rsid w:val="00327300"/>
    <w:rsid w:val="0032755D"/>
    <w:rsid w:val="00332705"/>
    <w:rsid w:val="00333753"/>
    <w:rsid w:val="00335E04"/>
    <w:rsid w:val="00336C14"/>
    <w:rsid w:val="0034103A"/>
    <w:rsid w:val="003412F2"/>
    <w:rsid w:val="00342CC0"/>
    <w:rsid w:val="003444EA"/>
    <w:rsid w:val="0034497B"/>
    <w:rsid w:val="00345A19"/>
    <w:rsid w:val="0035018C"/>
    <w:rsid w:val="003508DB"/>
    <w:rsid w:val="00351BCE"/>
    <w:rsid w:val="003557F2"/>
    <w:rsid w:val="00360DAC"/>
    <w:rsid w:val="00361BE7"/>
    <w:rsid w:val="00364EDD"/>
    <w:rsid w:val="00365235"/>
    <w:rsid w:val="003653AC"/>
    <w:rsid w:val="00365A27"/>
    <w:rsid w:val="003666C0"/>
    <w:rsid w:val="0036687B"/>
    <w:rsid w:val="00370EEA"/>
    <w:rsid w:val="00372286"/>
    <w:rsid w:val="00372DFC"/>
    <w:rsid w:val="003730B8"/>
    <w:rsid w:val="003738A9"/>
    <w:rsid w:val="003834EA"/>
    <w:rsid w:val="00390017"/>
    <w:rsid w:val="003914B9"/>
    <w:rsid w:val="00395F82"/>
    <w:rsid w:val="003A3119"/>
    <w:rsid w:val="003A3316"/>
    <w:rsid w:val="003A42B2"/>
    <w:rsid w:val="003A5DA9"/>
    <w:rsid w:val="003A65E3"/>
    <w:rsid w:val="003A72CB"/>
    <w:rsid w:val="003B0DD6"/>
    <w:rsid w:val="003B16F6"/>
    <w:rsid w:val="003B5773"/>
    <w:rsid w:val="003B759F"/>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103F"/>
    <w:rsid w:val="00411A53"/>
    <w:rsid w:val="00412450"/>
    <w:rsid w:val="00420912"/>
    <w:rsid w:val="00422E2A"/>
    <w:rsid w:val="00425700"/>
    <w:rsid w:val="00426786"/>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6173"/>
    <w:rsid w:val="0056101A"/>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545E"/>
    <w:rsid w:val="00595DBB"/>
    <w:rsid w:val="005A0E25"/>
    <w:rsid w:val="005A2099"/>
    <w:rsid w:val="005A38C4"/>
    <w:rsid w:val="005A42D6"/>
    <w:rsid w:val="005A45E3"/>
    <w:rsid w:val="005A6C28"/>
    <w:rsid w:val="005B0557"/>
    <w:rsid w:val="005B2AF8"/>
    <w:rsid w:val="005B4354"/>
    <w:rsid w:val="005B4CD1"/>
    <w:rsid w:val="005B5D6D"/>
    <w:rsid w:val="005B7C5F"/>
    <w:rsid w:val="005B7EB8"/>
    <w:rsid w:val="005C16F6"/>
    <w:rsid w:val="005C2763"/>
    <w:rsid w:val="005C33A6"/>
    <w:rsid w:val="005C40E5"/>
    <w:rsid w:val="005C632F"/>
    <w:rsid w:val="005D1B00"/>
    <w:rsid w:val="005D39BA"/>
    <w:rsid w:val="005D5345"/>
    <w:rsid w:val="005D75CA"/>
    <w:rsid w:val="005E4A7E"/>
    <w:rsid w:val="005F0F15"/>
    <w:rsid w:val="005F2DC1"/>
    <w:rsid w:val="005F694A"/>
    <w:rsid w:val="00602C5F"/>
    <w:rsid w:val="0060561B"/>
    <w:rsid w:val="00607454"/>
    <w:rsid w:val="006079ED"/>
    <w:rsid w:val="00607A5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70F"/>
    <w:rsid w:val="006D6477"/>
    <w:rsid w:val="006D7115"/>
    <w:rsid w:val="006E120A"/>
    <w:rsid w:val="006E1C82"/>
    <w:rsid w:val="006E3B15"/>
    <w:rsid w:val="006E50E5"/>
    <w:rsid w:val="006F0F53"/>
    <w:rsid w:val="006F1879"/>
    <w:rsid w:val="006F7457"/>
    <w:rsid w:val="00700D50"/>
    <w:rsid w:val="007016C6"/>
    <w:rsid w:val="0070202C"/>
    <w:rsid w:val="007047A3"/>
    <w:rsid w:val="00706350"/>
    <w:rsid w:val="0070788D"/>
    <w:rsid w:val="00710CFD"/>
    <w:rsid w:val="007150E6"/>
    <w:rsid w:val="00716943"/>
    <w:rsid w:val="00720300"/>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500F4"/>
    <w:rsid w:val="00857EE9"/>
    <w:rsid w:val="008607C0"/>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539"/>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228D"/>
    <w:rsid w:val="009A437B"/>
    <w:rsid w:val="009B0B7B"/>
    <w:rsid w:val="009B28D4"/>
    <w:rsid w:val="009B3E20"/>
    <w:rsid w:val="009B4BB6"/>
    <w:rsid w:val="009B4BE1"/>
    <w:rsid w:val="009B5298"/>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B2C"/>
    <w:rsid w:val="00A4078D"/>
    <w:rsid w:val="00A4156C"/>
    <w:rsid w:val="00A442CE"/>
    <w:rsid w:val="00A55156"/>
    <w:rsid w:val="00A5784D"/>
    <w:rsid w:val="00A67A7A"/>
    <w:rsid w:val="00A70365"/>
    <w:rsid w:val="00A722E9"/>
    <w:rsid w:val="00A77E3E"/>
    <w:rsid w:val="00A83949"/>
    <w:rsid w:val="00A871A1"/>
    <w:rsid w:val="00A87ED2"/>
    <w:rsid w:val="00AA1183"/>
    <w:rsid w:val="00AA23AE"/>
    <w:rsid w:val="00AB070B"/>
    <w:rsid w:val="00AB291E"/>
    <w:rsid w:val="00AB4840"/>
    <w:rsid w:val="00AB6D47"/>
    <w:rsid w:val="00AC1D3D"/>
    <w:rsid w:val="00AC38CC"/>
    <w:rsid w:val="00AC3BA7"/>
    <w:rsid w:val="00AC6862"/>
    <w:rsid w:val="00AD1674"/>
    <w:rsid w:val="00AD202F"/>
    <w:rsid w:val="00AD27D5"/>
    <w:rsid w:val="00AD29E5"/>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B66"/>
    <w:rsid w:val="00B6479C"/>
    <w:rsid w:val="00B65E1B"/>
    <w:rsid w:val="00B72552"/>
    <w:rsid w:val="00B76A5F"/>
    <w:rsid w:val="00B76C20"/>
    <w:rsid w:val="00B8008F"/>
    <w:rsid w:val="00B82EEC"/>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D2A"/>
    <w:rsid w:val="00BC0CA0"/>
    <w:rsid w:val="00BC1B1D"/>
    <w:rsid w:val="00BC23F3"/>
    <w:rsid w:val="00BC2A83"/>
    <w:rsid w:val="00BC31C1"/>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701A2"/>
    <w:rsid w:val="00D718FD"/>
    <w:rsid w:val="00D72DFC"/>
    <w:rsid w:val="00D74B83"/>
    <w:rsid w:val="00D75B28"/>
    <w:rsid w:val="00D81D26"/>
    <w:rsid w:val="00D85E3F"/>
    <w:rsid w:val="00D87DFB"/>
    <w:rsid w:val="00D96CB4"/>
    <w:rsid w:val="00DA0051"/>
    <w:rsid w:val="00DA0A93"/>
    <w:rsid w:val="00DA4C50"/>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D1F0A"/>
    <w:rsid w:val="00DD3F85"/>
    <w:rsid w:val="00DD6727"/>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2D5D"/>
    <w:rsid w:val="00E33CF8"/>
    <w:rsid w:val="00E36C9F"/>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7592"/>
    <w:rsid w:val="00EC1B70"/>
    <w:rsid w:val="00EC3454"/>
    <w:rsid w:val="00EC39E2"/>
    <w:rsid w:val="00EC4292"/>
    <w:rsid w:val="00EC598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E1117"/>
    <w:rsid w:val="00FE1C50"/>
    <w:rsid w:val="00FE1E18"/>
    <w:rsid w:val="00FF0F0E"/>
    <w:rsid w:val="00FF5C74"/>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CE2AA"/>
  <w15:chartTrackingRefBased/>
  <w15:docId w15:val="{4C52182B-1ECE-4BBB-B256-C18FFF79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C1D3D"/>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1424495291">
          <w:marLeft w:val="547"/>
          <w:marRight w:val="0"/>
          <w:marTop w:val="144"/>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92171808">
          <w:marLeft w:val="1800"/>
          <w:marRight w:val="0"/>
          <w:marTop w:val="106"/>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N6KZ5FJUH56N-2-3627</_dlc_DocId>
    <_dlc_DocIdUrl xmlns="61b4827f-6107-4548-85d2-bee677143c1f">
      <Url>https://projects.qualcomm.com/sites/avante/_layouts/15/DocIdRedir.aspx?ID=N6KZ5FJUH56N-2-3627</Url>
      <Description>N6KZ5FJUH56N-2-3627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7306A-2BD8-4AA3-BBF2-7689088460FE}">
  <ds:schemaRefs>
    <ds:schemaRef ds:uri="http://schemas.microsoft.com/sharepoint/events"/>
  </ds:schemaRefs>
</ds:datastoreItem>
</file>

<file path=customXml/itemProps2.xml><?xml version="1.0" encoding="utf-8"?>
<ds:datastoreItem xmlns:ds="http://schemas.openxmlformats.org/officeDocument/2006/customXml" ds:itemID="{980E1565-2D7A-4307-8505-03965A9A6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1C6CC-4730-4E09-B95C-A930CBEF36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BD73661-0830-4102-AE40-3EA255D0FC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4</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4</cp:revision>
  <dcterms:created xsi:type="dcterms:W3CDTF">2017-08-09T18:02:00Z</dcterms:created>
  <dcterms:modified xsi:type="dcterms:W3CDTF">2017-08-11T18:58:00Z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e415ab5a-154b-40e1-add8-26ec576b9cc2</vt:lpwstr>
  </property>
</Properties>
</file>